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07" w:rsidRPr="00FD2807" w:rsidRDefault="00FD2807" w:rsidP="00FD28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</w:t>
      </w:r>
      <w:r w:rsidR="003D0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ции к рабочим программам на 2017-2018</w:t>
      </w: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умений и качеств, необходимых человеку  XXI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  задачи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 мир».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живую и неживую природу;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основные признаки времен года;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факты экологического наблюдения в окружающей среде;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правила поведения в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адрес, имена и отчества родителей;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поведении в общественных местах.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результатов. Критерии оценивания: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наряду со стандартными формами работ, таких форм, как проекты, творческие работы, наблюдения.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66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курса «Изобразительное искусство и художественный труд» учащимися 1 класса общеобразовательной школы.</w:t>
      </w:r>
    </w:p>
    <w:p w:rsidR="008C11FF" w:rsidRPr="008C11FF" w:rsidRDefault="009B3FC9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«Изобразительному искусству и художественному труду. 1-9 классы» (автор </w:t>
      </w:r>
      <w:r w:rsidR="008C11FF"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искусство». 1 класс.</w:t>
      </w:r>
      <w:proofErr w:type="gramEnd"/>
    </w:p>
    <w:p w:rsidR="008C11FF" w:rsidRPr="008C11FF" w:rsidRDefault="008C11FF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М.:  </w:t>
      </w: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(1-4) начальной школы.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деятельностидля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"ИЗО".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учебного предмета "Технология" учащимися 1 класса общеобразовательной школы.</w:t>
      </w:r>
    </w:p>
    <w:p w:rsidR="008670FB" w:rsidRPr="008670FB" w:rsidRDefault="009B3FC9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1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  <w:proofErr w:type="gramEnd"/>
    </w:p>
    <w:p w:rsidR="009B3FC9" w:rsidRPr="009B3FC9" w:rsidRDefault="008670FB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концептуальных основ данного учебного предмета использованы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часов на изучение курса "Технология".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  учащимися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физической культуры в 1 классе отведено 99 часа, из расчета 3 учебных часа в неделю,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Л.Я. </w:t>
      </w:r>
      <w:proofErr w:type="spellStart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"Русский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АСТ Астрель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математики во 2 классе начальной школы отводится 136 часов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чача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  МИР»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правлено на достижение следующих 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учащимися 2 класса общеобразовательной школы 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по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во 2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НефедоваМ.: АСТ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 учебного</w:t>
      </w:r>
      <w:proofErr w:type="gram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использованы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«Технология»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Рабочая программа составлена для изучения физической культуры  учащимися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5F142B" w:rsidRPr="005F142B">
        <w:rPr>
          <w:color w:val="000000"/>
          <w:sz w:val="24"/>
          <w:szCs w:val="24"/>
        </w:rPr>
        <w:t>под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2013-2014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 xml:space="preserve">Рабочая программа учебного предмета «Русский язык» для 3  класса на 2032 – 2014 учебный год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5F142B" w:rsidRPr="005F142B">
        <w:rPr>
          <w:color w:val="000000"/>
          <w:sz w:val="24"/>
          <w:szCs w:val="24"/>
        </w:rPr>
        <w:t xml:space="preserve">Л.Я. </w:t>
      </w:r>
      <w:proofErr w:type="spellStart"/>
      <w:r w:rsidR="005F142B" w:rsidRPr="005F142B">
        <w:rPr>
          <w:color w:val="000000"/>
          <w:sz w:val="24"/>
          <w:szCs w:val="24"/>
        </w:rPr>
        <w:t>Желтовская</w:t>
      </w:r>
      <w:r w:rsidRPr="00990FA4">
        <w:rPr>
          <w:color w:val="000000"/>
          <w:sz w:val="24"/>
          <w:szCs w:val="24"/>
        </w:rPr>
        <w:t>Русский</w:t>
      </w:r>
      <w:proofErr w:type="spellEnd"/>
      <w:r w:rsidRPr="00990FA4">
        <w:rPr>
          <w:color w:val="000000"/>
          <w:sz w:val="24"/>
          <w:szCs w:val="24"/>
        </w:rPr>
        <w:t xml:space="preserve"> язык (Программы общеобразовательных учреждений.</w:t>
      </w:r>
      <w:proofErr w:type="gramEnd"/>
      <w:r w:rsidRPr="00990FA4">
        <w:rPr>
          <w:color w:val="000000"/>
          <w:sz w:val="24"/>
          <w:szCs w:val="24"/>
        </w:rPr>
        <w:t xml:space="preserve"> Начальные классы (1–4). – М.: Просвещение, 2011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Наименование разделов и тем: </w:t>
      </w:r>
      <w:proofErr w:type="gramStart"/>
      <w:r w:rsidRPr="00990FA4">
        <w:rPr>
          <w:color w:val="000000"/>
          <w:sz w:val="24"/>
          <w:szCs w:val="24"/>
        </w:rPr>
        <w:t>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  <w:proofErr w:type="gramEnd"/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-Были  и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По страницам детских  журналов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определение своего эмоционально-оценочного отношения к </w:t>
      </w:r>
      <w:proofErr w:type="gramStart"/>
      <w:r w:rsidRPr="00990FA4">
        <w:rPr>
          <w:color w:val="000000"/>
          <w:sz w:val="24"/>
          <w:szCs w:val="24"/>
        </w:rPr>
        <w:t>прочитанному</w:t>
      </w:r>
      <w:proofErr w:type="gramEnd"/>
      <w:r w:rsidRPr="00990FA4">
        <w:rPr>
          <w:color w:val="000000"/>
          <w:sz w:val="24"/>
          <w:szCs w:val="24"/>
        </w:rPr>
        <w:t>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>Рассчитана</w:t>
      </w:r>
      <w:proofErr w:type="gramEnd"/>
      <w:r w:rsidRPr="00990FA4">
        <w:rPr>
          <w:color w:val="000000"/>
          <w:sz w:val="24"/>
          <w:szCs w:val="24"/>
        </w:rPr>
        <w:t xml:space="preserve">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образования,  авторской программы «Окружающий мир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классы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Потапов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духовно-нравственное развитие и воспитание личности гражданина России в условиях 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культур-ного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един-стве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справедливо-сти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учащимися 3 класса общеобразовательной школы. </w:t>
      </w:r>
    </w:p>
    <w:p w:rsidR="00A175C9" w:rsidRPr="009B3FC9" w:rsidRDefault="009B3FC9" w:rsidP="00A175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proofErr w:type="gramEnd"/>
      <w:r w:rsidR="00A175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основных идей программы по «Изобразительному искусству» в 3 классе -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ИЗОв3 классе   35 часов, из расчёта 1 учебный час в неделю. В соответствии с образовательной программой учреждения, учебным планом на 2013 - 2014 учебный  год на 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  <w:proofErr w:type="gramEnd"/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3  классе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культуре  для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П. Матвеева,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образовательной программой учреждения, учебным планом на 2013-2014 учебный год, на изучение физической культуры в 3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 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программа составлена из расчета  4 часов в неделю,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136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план к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знать/понимать: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(2—3 представителя изизученных);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ятельности и повседневной жизни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 к</w:t>
      </w:r>
      <w:proofErr w:type="gramEnd"/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представление об изобразительном искусстве как целостном явлении. Это  дает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  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2013 - 2014 учебный  год на изучение предмета «ИЗО» в 4 классе отведено 35 часов, из расчета  1 учебный час в неделю.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«Основы религиозных культур и светской этики (основы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рассчитана на учащихся 4 класса. В рамках апробации комплексный учебный курс  «Основы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учебного модуля «Основы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вариативной программы инновацио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комплексного курса для 4 класса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 </w:t>
      </w:r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(А.Я.Данилюк, М.: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10?11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учебного 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знание, понимание и принятие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  светской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религиозных культур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  для изучения курса «Технология (труд)» учащимися 4 класса общеобразовательной школы.</w:t>
      </w:r>
    </w:p>
    <w:p w:rsidR="00B116C2" w:rsidRPr="00B116C2" w:rsidRDefault="009B3FC9" w:rsidP="00B116C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технологии для общеобразовательных учреждений 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О. В. </w:t>
      </w:r>
      <w:proofErr w:type="spellStart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представляется нецелесообразным ограничивать его лишь формированием сугубо «технологических» знаний и умений.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2012-2013 учебный год, на изучение предмета «Технология (труд)» в 4 классе отведено 70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  задачей программы  является: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представлений о гармоничном единстве мира и о месте в нём человека с его искусственно создаваемой предметной средой</w:t>
      </w: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 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сенсомоторных процессов (глазомера, руки и прочих) через формирование практических умений.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  другими людьми.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линия учебников имеет грифы «Рекомендовано» и «Допущено»/.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 на 2013/2014 учебный год на изучение  музыки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образовательной программой учреждения, учебным планом на 2013-2014 учебный год, на изучение физической культуры в 4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«Русский  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 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программа  рассчитана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программа  рассчитана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Баранова,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Просвещение»,2009 г.  (Учебник для  общеобразовательных учреждений / Л.А.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«Просвещение», 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г.)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  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личностно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  в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«Литература. 8 - 9 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составлена 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XVIII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XIX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Литература XVIII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XIX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личностно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наизусть, устный пересказ, реферат, сообщение, доклад, контрольные и  самостоятельные работы, тест, сочинение.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Алгебра. Геометрия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.» 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 « Алгебра. Геометрия.»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Геометрия»  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</w:t>
      </w:r>
      <w:proofErr w:type="gramStart"/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 »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x2,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x3,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итогам пройденных тем; решение тестовых заданий ГИА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  программа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В.В. Пасечник, С.В.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В.В. Пасечника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 проводится 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  в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в  9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7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в 7 классе проводится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авторского коллектива под руководством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Шапкин,  рассчитанной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  целей: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умениями применять 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раздела «Животные» 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  через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и  рефератов,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сфер,  продолжить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  совершенствующихся социально-успешных личностей с положительной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Я-концепцией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Колесов, Р.Д. Маш, И.Н. Беляев,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9 лабораторных работ, 10 письменных проверочных работ и  5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раздела  «Человек»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  компетентностей: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образовательные  маршруты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  через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  через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положительной  «Я-концепцией»,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Пасечник,Дрофа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proofErr w:type="gram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мон</w:t>
            </w:r>
            <w:proofErr w:type="gram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деятельности, сформированные в процессе изучения физики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теоретическими и экспериментальными методами решения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законах, теориях и их практическом применении, формирование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Процесс изучения дисциплины направлен на формирование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проведения анализа, исследования 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составлять комплексную географическую характеристику регионов и стран мира;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тематики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приобретенные знания и умения в практической деятельности и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 современной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ср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объеме, выполнять работы декоративные и конструктивные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с элементами графики</w:t>
      </w: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): ):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о личной гигиене, режиме дня. влияние физических упражнений на здоровье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дисциплины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 w:rsidSect="00D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C9"/>
    <w:rsid w:val="00013DB9"/>
    <w:rsid w:val="000249F7"/>
    <w:rsid w:val="002D24CF"/>
    <w:rsid w:val="003B04D1"/>
    <w:rsid w:val="003D0C95"/>
    <w:rsid w:val="00522938"/>
    <w:rsid w:val="005F142B"/>
    <w:rsid w:val="008670FB"/>
    <w:rsid w:val="008C11FF"/>
    <w:rsid w:val="009011E5"/>
    <w:rsid w:val="00990BF2"/>
    <w:rsid w:val="00990FA4"/>
    <w:rsid w:val="009B3FC9"/>
    <w:rsid w:val="00A175C9"/>
    <w:rsid w:val="00A20E8A"/>
    <w:rsid w:val="00A4798A"/>
    <w:rsid w:val="00A67122"/>
    <w:rsid w:val="00B116C2"/>
    <w:rsid w:val="00BC3619"/>
    <w:rsid w:val="00CC5B35"/>
    <w:rsid w:val="00D24F20"/>
    <w:rsid w:val="00DC7FD3"/>
    <w:rsid w:val="00EB5EBB"/>
    <w:rsid w:val="00F34A65"/>
    <w:rsid w:val="00FB3AF1"/>
    <w:rsid w:val="00FD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">
    <w:name w:val="Default Paragraph Font"/>
    <w:rsid w:val="005F1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56</Pages>
  <Words>24344</Words>
  <Characters>138767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Гасан</cp:lastModifiedBy>
  <cp:revision>21</cp:revision>
  <dcterms:created xsi:type="dcterms:W3CDTF">2013-11-25T11:15:00Z</dcterms:created>
  <dcterms:modified xsi:type="dcterms:W3CDTF">2017-12-03T09:50:00Z</dcterms:modified>
</cp:coreProperties>
</file>